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F7D8" w14:textId="4B830C5B" w:rsidR="001E0BCE" w:rsidRDefault="00835ED0" w:rsidP="0098762D">
      <w:pPr>
        <w:ind w:left="709"/>
        <w:jc w:val="center"/>
        <w:rPr>
          <w:b/>
          <w:bCs/>
          <w:noProof/>
        </w:rPr>
      </w:pPr>
      <w:r>
        <w:rPr>
          <w:b/>
          <w:bCs/>
          <w:noProof/>
        </w:rPr>
        <w:t>MOTIVATION DE VOTE</w:t>
      </w:r>
      <w:r w:rsidR="001E0BCE" w:rsidRPr="001E0BCE">
        <w:rPr>
          <w:b/>
          <w:bCs/>
          <w:noProof/>
        </w:rPr>
        <w:t xml:space="preserve"> DU CSEE DOGNE SUR LE PROJET DE LIBERATION DES SITES</w:t>
      </w:r>
    </w:p>
    <w:p w14:paraId="679646A0" w14:textId="77777777" w:rsidR="0098762D" w:rsidRDefault="001E0BCE" w:rsidP="0098762D">
      <w:pPr>
        <w:ind w:left="709"/>
        <w:jc w:val="center"/>
        <w:rPr>
          <w:b/>
          <w:bCs/>
          <w:noProof/>
        </w:rPr>
      </w:pPr>
      <w:r w:rsidRPr="001E0BCE">
        <w:rPr>
          <w:b/>
          <w:bCs/>
          <w:noProof/>
        </w:rPr>
        <w:t>DE METZ ARSENAL ET PORTE DES ALLEMANDS</w:t>
      </w:r>
      <w:r w:rsidR="0098762D">
        <w:rPr>
          <w:b/>
          <w:bCs/>
          <w:noProof/>
        </w:rPr>
        <w:t xml:space="preserve"> </w:t>
      </w:r>
      <w:r w:rsidRPr="001E0BCE">
        <w:rPr>
          <w:b/>
          <w:bCs/>
          <w:noProof/>
        </w:rPr>
        <w:t xml:space="preserve">ET DEMENAGEMENT DES SALARIES SUR LES </w:t>
      </w:r>
    </w:p>
    <w:p w14:paraId="3B81D3A8" w14:textId="254BCA22" w:rsidR="00970BE2" w:rsidRPr="001E0BCE" w:rsidRDefault="001E0BCE" w:rsidP="0098762D">
      <w:pPr>
        <w:ind w:left="709"/>
        <w:jc w:val="center"/>
        <w:rPr>
          <w:rFonts w:ascii="Gotham Narrow Light" w:hAnsi="Gotham Narrow Light" w:cs="Arial"/>
          <w:b/>
          <w:bCs/>
          <w:sz w:val="22"/>
        </w:rPr>
      </w:pPr>
      <w:r w:rsidRPr="001E0BCE">
        <w:rPr>
          <w:b/>
          <w:bCs/>
          <w:noProof/>
        </w:rPr>
        <w:t>SITES DE METZ SABLON ET MAIZIERES-LES-METZ</w:t>
      </w:r>
    </w:p>
    <w:p w14:paraId="17E0A07E" w14:textId="427E2D75" w:rsidR="00970BE2" w:rsidRDefault="00970BE2" w:rsidP="0098762D">
      <w:pPr>
        <w:ind w:left="709"/>
        <w:jc w:val="center"/>
        <w:rPr>
          <w:rFonts w:ascii="Gotham Narrow Light" w:hAnsi="Gotham Narrow Light" w:cs="Arial"/>
          <w:sz w:val="22"/>
        </w:rPr>
      </w:pPr>
    </w:p>
    <w:p w14:paraId="3B9A9D93" w14:textId="6F29E346" w:rsidR="00F56DCF" w:rsidRDefault="00E024A4" w:rsidP="00D239DE">
      <w:pPr>
        <w:ind w:left="709"/>
        <w:rPr>
          <w:rFonts w:cs="Arial"/>
          <w:szCs w:val="20"/>
        </w:rPr>
      </w:pPr>
      <w:r w:rsidRPr="001E0BCE">
        <w:rPr>
          <w:rFonts w:cs="Arial"/>
          <w:szCs w:val="20"/>
        </w:rPr>
        <w:t>Les élus des organisations syndicales CFDT – CFE-CGC – CFTC – CGT – FOC</w:t>
      </w:r>
      <w:r w:rsidR="00AD48BA">
        <w:rPr>
          <w:rFonts w:cs="Arial"/>
          <w:szCs w:val="20"/>
        </w:rPr>
        <w:t>OM</w:t>
      </w:r>
      <w:r w:rsidRPr="001E0BCE">
        <w:rPr>
          <w:rFonts w:cs="Arial"/>
          <w:szCs w:val="20"/>
        </w:rPr>
        <w:t xml:space="preserve"> et SUD souhaitent vous alerter sur </w:t>
      </w:r>
      <w:r w:rsidR="00F56DCF" w:rsidRPr="001E0BCE">
        <w:rPr>
          <w:rFonts w:cs="Arial"/>
          <w:szCs w:val="20"/>
        </w:rPr>
        <w:t xml:space="preserve">le projet à horizon fin 2024, qui prévoit la libération des bâtiments locatifs du site de Metz Arsenal et de son bâtiment </w:t>
      </w:r>
      <w:r w:rsidR="00F56DCF" w:rsidRPr="009E5A16">
        <w:rPr>
          <w:rFonts w:cs="Arial"/>
          <w:szCs w:val="20"/>
        </w:rPr>
        <w:t>propriétaire</w:t>
      </w:r>
      <w:r w:rsidR="00257D1D" w:rsidRPr="009E5A16">
        <w:rPr>
          <w:rFonts w:cs="Arial"/>
          <w:szCs w:val="20"/>
        </w:rPr>
        <w:t>,</w:t>
      </w:r>
      <w:r w:rsidR="00F56DCF" w:rsidRPr="001E0BCE">
        <w:rPr>
          <w:rFonts w:cs="Arial"/>
          <w:szCs w:val="20"/>
        </w:rPr>
        <w:t xml:space="preserve"> ainsi que la libération du site propriétaire de porte des Allemands.</w:t>
      </w:r>
    </w:p>
    <w:p w14:paraId="3500E32D" w14:textId="77777777" w:rsidR="00D103D4" w:rsidRPr="00D103D4" w:rsidRDefault="00D103D4" w:rsidP="00D239DE">
      <w:pPr>
        <w:ind w:left="709"/>
        <w:rPr>
          <w:rFonts w:cs="Arial"/>
          <w:sz w:val="10"/>
          <w:szCs w:val="10"/>
        </w:rPr>
      </w:pPr>
    </w:p>
    <w:p w14:paraId="35FA7DB6" w14:textId="3ACE184C" w:rsidR="007C40E9" w:rsidRDefault="009E5A16" w:rsidP="00D239DE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F56DCF" w:rsidRPr="001E0BCE">
        <w:rPr>
          <w:rFonts w:cs="Arial"/>
          <w:szCs w:val="20"/>
        </w:rPr>
        <w:t xml:space="preserve">l reste encore aujourd’hui des zones d’ombre que l’entreprise se doit de dissiper afin de permettre une pleine connaissance de ce </w:t>
      </w:r>
      <w:r>
        <w:rPr>
          <w:rFonts w:cs="Arial"/>
          <w:szCs w:val="20"/>
        </w:rPr>
        <w:t>projet</w:t>
      </w:r>
      <w:r w:rsidR="007C40E9" w:rsidRPr="001E0BCE">
        <w:rPr>
          <w:rFonts w:cs="Arial"/>
          <w:szCs w:val="20"/>
        </w:rPr>
        <w:t>.</w:t>
      </w:r>
    </w:p>
    <w:p w14:paraId="78FD9948" w14:textId="77777777" w:rsidR="00D103D4" w:rsidRPr="00D103D4" w:rsidRDefault="00D103D4" w:rsidP="00D239DE">
      <w:pPr>
        <w:ind w:left="709"/>
        <w:rPr>
          <w:rFonts w:cs="Arial"/>
          <w:sz w:val="10"/>
          <w:szCs w:val="10"/>
        </w:rPr>
      </w:pPr>
    </w:p>
    <w:p w14:paraId="75E8AD2A" w14:textId="1FFC8E59" w:rsidR="00F56DCF" w:rsidRPr="001E0BCE" w:rsidRDefault="00F56DCF" w:rsidP="00D239DE">
      <w:pPr>
        <w:ind w:left="709"/>
        <w:rPr>
          <w:rFonts w:cs="Arial"/>
          <w:szCs w:val="20"/>
        </w:rPr>
      </w:pPr>
      <w:r w:rsidRPr="001E0BCE">
        <w:rPr>
          <w:rFonts w:cs="Arial"/>
          <w:szCs w:val="20"/>
        </w:rPr>
        <w:t xml:space="preserve">Ce projet </w:t>
      </w:r>
      <w:r w:rsidR="00451E2B">
        <w:rPr>
          <w:rFonts w:cs="Arial"/>
          <w:szCs w:val="20"/>
        </w:rPr>
        <w:t>doit répondre</w:t>
      </w:r>
      <w:r w:rsidRPr="001E0BCE">
        <w:rPr>
          <w:rFonts w:cs="Arial"/>
          <w:szCs w:val="20"/>
        </w:rPr>
        <w:t xml:space="preserve"> à trois types d’enjeux majeurs :</w:t>
      </w:r>
    </w:p>
    <w:p w14:paraId="7F0553A0" w14:textId="29EADE03" w:rsidR="009E5A16" w:rsidRDefault="009E5A16" w:rsidP="00D239DE">
      <w:pPr>
        <w:tabs>
          <w:tab w:val="num" w:pos="720"/>
        </w:tabs>
        <w:spacing w:after="240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F56DCF" w:rsidRPr="001E0BCE">
        <w:rPr>
          <w:rFonts w:cs="Arial"/>
          <w:szCs w:val="20"/>
        </w:rPr>
        <w:t>Enjeux économiques : fin de bail du site d’Arsenal fin 2024, économies en termes de frais de fonctionnement.</w:t>
      </w:r>
    </w:p>
    <w:p w14:paraId="2BDD4EDE" w14:textId="77777777" w:rsidR="00D103D4" w:rsidRDefault="009E5A16" w:rsidP="00D239DE">
      <w:pPr>
        <w:tabs>
          <w:tab w:val="num" w:pos="720"/>
        </w:tabs>
        <w:spacing w:before="0" w:after="240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F56DCF" w:rsidRPr="001E0BCE">
        <w:rPr>
          <w:rFonts w:cs="Arial"/>
          <w:szCs w:val="20"/>
        </w:rPr>
        <w:t>Enjeux RSE : gains en CO2 liés à l’occupation des bâtiments, sites à proximité de la gare.</w:t>
      </w:r>
    </w:p>
    <w:p w14:paraId="7D0A2684" w14:textId="0AB60128" w:rsidR="00F56DCF" w:rsidRPr="001E0BCE" w:rsidRDefault="009E5A16" w:rsidP="00D239DE">
      <w:pPr>
        <w:tabs>
          <w:tab w:val="num" w:pos="720"/>
        </w:tabs>
        <w:spacing w:before="0" w:after="240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F56DCF" w:rsidRPr="001E0BCE">
        <w:rPr>
          <w:rFonts w:cs="Arial"/>
          <w:szCs w:val="20"/>
        </w:rPr>
        <w:t>Enjeux humains</w:t>
      </w:r>
      <w:r w:rsidR="00A231E3">
        <w:rPr>
          <w:rFonts w:cs="Arial"/>
          <w:szCs w:val="20"/>
        </w:rPr>
        <w:t xml:space="preserve"> </w:t>
      </w:r>
      <w:r w:rsidR="00A231E3" w:rsidRPr="00A231E3">
        <w:rPr>
          <w:rFonts w:cs="Arial"/>
          <w:b/>
          <w:bCs/>
          <w:color w:val="5B9BD5" w:themeColor="accent1"/>
          <w:szCs w:val="20"/>
        </w:rPr>
        <w:t>et RPS</w:t>
      </w:r>
      <w:r w:rsidR="00F56DCF" w:rsidRPr="00A231E3">
        <w:rPr>
          <w:rFonts w:cs="Arial"/>
          <w:b/>
          <w:bCs/>
          <w:color w:val="5B9BD5" w:themeColor="accent1"/>
          <w:szCs w:val="20"/>
        </w:rPr>
        <w:t xml:space="preserve"> </w:t>
      </w:r>
      <w:r w:rsidR="00F56DCF" w:rsidRPr="001E0BCE">
        <w:rPr>
          <w:rFonts w:cs="Arial"/>
          <w:szCs w:val="20"/>
        </w:rPr>
        <w:t>: l’occupation et l’aménagement des espaces au service d’une nouvelle dynamique collective.</w:t>
      </w:r>
    </w:p>
    <w:p w14:paraId="2A0BD405" w14:textId="510A01F7" w:rsidR="00F56DCF" w:rsidRDefault="00F56DCF" w:rsidP="009769A6">
      <w:pPr>
        <w:ind w:left="709"/>
        <w:rPr>
          <w:rFonts w:cs="Arial"/>
          <w:szCs w:val="20"/>
        </w:rPr>
      </w:pPr>
      <w:r w:rsidRPr="001E0BCE">
        <w:rPr>
          <w:rFonts w:cs="Arial"/>
          <w:szCs w:val="20"/>
        </w:rPr>
        <w:t>Toutefois</w:t>
      </w:r>
      <w:r w:rsidR="00257D1D" w:rsidRPr="001E0BCE">
        <w:rPr>
          <w:rFonts w:cs="Arial"/>
          <w:szCs w:val="20"/>
        </w:rPr>
        <w:t>,</w:t>
      </w:r>
      <w:r w:rsidRPr="001E0BCE">
        <w:rPr>
          <w:rFonts w:cs="Arial"/>
          <w:szCs w:val="20"/>
        </w:rPr>
        <w:t xml:space="preserve"> même </w:t>
      </w:r>
      <w:r w:rsidR="007C40E9" w:rsidRPr="001E0BCE">
        <w:rPr>
          <w:rFonts w:cs="Arial"/>
          <w:szCs w:val="20"/>
        </w:rPr>
        <w:t xml:space="preserve">si nous pouvons concéder que </w:t>
      </w:r>
      <w:r w:rsidRPr="001E0BCE">
        <w:rPr>
          <w:rFonts w:cs="Arial"/>
          <w:szCs w:val="20"/>
        </w:rPr>
        <w:t>ces enjeux sont aujourd’hui en adéquation avec la politique RSE de</w:t>
      </w:r>
      <w:r w:rsidR="007C40E9" w:rsidRPr="001E0BCE">
        <w:rPr>
          <w:rFonts w:cs="Arial"/>
          <w:szCs w:val="20"/>
        </w:rPr>
        <w:t xml:space="preserve"> l’</w:t>
      </w:r>
      <w:r w:rsidR="00825125">
        <w:rPr>
          <w:rFonts w:cs="Arial"/>
          <w:szCs w:val="20"/>
        </w:rPr>
        <w:t>e</w:t>
      </w:r>
      <w:r w:rsidR="007C40E9" w:rsidRPr="001E0BCE">
        <w:rPr>
          <w:rFonts w:cs="Arial"/>
          <w:szCs w:val="20"/>
        </w:rPr>
        <w:t>ntreprise</w:t>
      </w:r>
      <w:r w:rsidRPr="001E0BCE">
        <w:rPr>
          <w:rFonts w:cs="Arial"/>
          <w:szCs w:val="20"/>
        </w:rPr>
        <w:t xml:space="preserve"> et plus globalement</w:t>
      </w:r>
      <w:r w:rsidR="00825125">
        <w:rPr>
          <w:rFonts w:cs="Arial"/>
          <w:szCs w:val="20"/>
        </w:rPr>
        <w:t xml:space="preserve"> avec</w:t>
      </w:r>
      <w:r w:rsidRPr="001E0BCE">
        <w:rPr>
          <w:rFonts w:cs="Arial"/>
          <w:szCs w:val="20"/>
        </w:rPr>
        <w:t xml:space="preserve"> l’engagement net zéro carbone 2040</w:t>
      </w:r>
      <w:r w:rsidR="00257D1D" w:rsidRPr="00D103D4">
        <w:rPr>
          <w:rFonts w:cs="Arial"/>
          <w:szCs w:val="20"/>
        </w:rPr>
        <w:t>, i</w:t>
      </w:r>
      <w:r w:rsidRPr="001E0BCE">
        <w:rPr>
          <w:rFonts w:cs="Arial"/>
          <w:szCs w:val="20"/>
        </w:rPr>
        <w:t>l est essentiel pour nous de faire les remarques suivantes :</w:t>
      </w:r>
    </w:p>
    <w:p w14:paraId="07FA3E65" w14:textId="77777777" w:rsidR="009769A6" w:rsidRPr="001E0BCE" w:rsidRDefault="009769A6" w:rsidP="009769A6">
      <w:pPr>
        <w:ind w:left="709"/>
        <w:rPr>
          <w:rFonts w:cs="Arial"/>
          <w:szCs w:val="20"/>
        </w:rPr>
      </w:pPr>
    </w:p>
    <w:p w14:paraId="5C4B6948" w14:textId="79761F3F" w:rsidR="00F56DCF" w:rsidRPr="00FC0CEF" w:rsidRDefault="00F56DCF" w:rsidP="00E9576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1E0BCE">
        <w:rPr>
          <w:rFonts w:ascii="Arial" w:hAnsi="Arial" w:cs="Arial"/>
          <w:sz w:val="20"/>
          <w:szCs w:val="20"/>
        </w:rPr>
        <w:t xml:space="preserve">Enjeux économiques : Dans l’audit </w:t>
      </w:r>
      <w:r w:rsidRPr="00D103D4">
        <w:rPr>
          <w:rFonts w:ascii="Arial" w:hAnsi="Arial" w:cs="Arial"/>
          <w:sz w:val="20"/>
          <w:szCs w:val="20"/>
        </w:rPr>
        <w:t>environnemental</w:t>
      </w:r>
      <w:r w:rsidR="006D4869" w:rsidRPr="00D103D4">
        <w:rPr>
          <w:rFonts w:ascii="Arial" w:hAnsi="Arial" w:cs="Arial"/>
          <w:sz w:val="20"/>
          <w:szCs w:val="20"/>
        </w:rPr>
        <w:t>,</w:t>
      </w:r>
      <w:r w:rsidRPr="00D103D4">
        <w:rPr>
          <w:rFonts w:ascii="Arial" w:hAnsi="Arial" w:cs="Arial"/>
          <w:sz w:val="20"/>
          <w:szCs w:val="20"/>
        </w:rPr>
        <w:t xml:space="preserve"> </w:t>
      </w:r>
      <w:r w:rsidR="004D3167" w:rsidRPr="00D103D4">
        <w:rPr>
          <w:rFonts w:ascii="Arial" w:hAnsi="Arial" w:cs="Arial"/>
          <w:sz w:val="20"/>
          <w:szCs w:val="20"/>
        </w:rPr>
        <w:t>il</w:t>
      </w:r>
      <w:r w:rsidR="004D3167" w:rsidRPr="001E0BCE">
        <w:rPr>
          <w:rFonts w:ascii="Arial" w:hAnsi="Arial" w:cs="Arial"/>
          <w:sz w:val="20"/>
          <w:szCs w:val="20"/>
        </w:rPr>
        <w:t xml:space="preserve"> est établi un lot de mesures visant à garantir l’accueil des salariés dans les meilleures conditions sur un moyen terme pour un montant de 3</w:t>
      </w:r>
      <w:r w:rsidR="00A231E3" w:rsidRPr="00A231E3">
        <w:rPr>
          <w:rFonts w:ascii="Arial" w:hAnsi="Arial" w:cs="Arial"/>
          <w:b/>
          <w:bCs/>
          <w:color w:val="5B9BD5" w:themeColor="accent1"/>
          <w:sz w:val="20"/>
          <w:szCs w:val="20"/>
        </w:rPr>
        <w:t>,5</w:t>
      </w:r>
      <w:r w:rsidR="004D3167" w:rsidRPr="00A231E3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4D3167" w:rsidRPr="001E0BCE">
        <w:rPr>
          <w:rFonts w:ascii="Arial" w:hAnsi="Arial" w:cs="Arial"/>
          <w:sz w:val="20"/>
          <w:szCs w:val="20"/>
        </w:rPr>
        <w:t xml:space="preserve">millions </w:t>
      </w:r>
      <w:r w:rsidR="004D3167" w:rsidRPr="00D103D4">
        <w:rPr>
          <w:rFonts w:ascii="Arial" w:hAnsi="Arial" w:cs="Arial"/>
          <w:sz w:val="20"/>
          <w:szCs w:val="20"/>
        </w:rPr>
        <w:t>d’euros</w:t>
      </w:r>
      <w:r w:rsidR="00825125">
        <w:rPr>
          <w:rFonts w:ascii="Arial" w:hAnsi="Arial" w:cs="Arial"/>
          <w:sz w:val="20"/>
          <w:szCs w:val="20"/>
        </w:rPr>
        <w:t> ;</w:t>
      </w:r>
      <w:r w:rsidR="00A231E3">
        <w:rPr>
          <w:rFonts w:ascii="Arial" w:hAnsi="Arial" w:cs="Arial"/>
          <w:sz w:val="20"/>
          <w:szCs w:val="20"/>
        </w:rPr>
        <w:t xml:space="preserve"> </w:t>
      </w:r>
      <w:r w:rsidR="00A231E3" w:rsidRPr="00A231E3">
        <w:rPr>
          <w:rFonts w:ascii="Arial" w:hAnsi="Arial" w:cs="Arial"/>
          <w:b/>
          <w:bCs/>
          <w:color w:val="5B9BD5" w:themeColor="accent1"/>
          <w:sz w:val="20"/>
          <w:szCs w:val="20"/>
        </w:rPr>
        <w:t>en contrepartie Orange fait un gain annuel de 54000€</w:t>
      </w:r>
      <w:r w:rsidR="006D4869" w:rsidRPr="00D103D4">
        <w:rPr>
          <w:rFonts w:ascii="Arial" w:hAnsi="Arial" w:cs="Arial"/>
          <w:sz w:val="20"/>
          <w:szCs w:val="20"/>
        </w:rPr>
        <w:t>. O</w:t>
      </w:r>
      <w:r w:rsidR="004D3167" w:rsidRPr="00D103D4">
        <w:rPr>
          <w:rFonts w:ascii="Arial" w:hAnsi="Arial" w:cs="Arial"/>
          <w:sz w:val="20"/>
          <w:szCs w:val="20"/>
        </w:rPr>
        <w:t>r le</w:t>
      </w:r>
      <w:r w:rsidR="004D3167" w:rsidRPr="001E0BCE">
        <w:rPr>
          <w:rFonts w:ascii="Arial" w:hAnsi="Arial" w:cs="Arial"/>
          <w:sz w:val="20"/>
          <w:szCs w:val="20"/>
        </w:rPr>
        <w:t xml:space="preserve"> plan d’action annoncé </w:t>
      </w:r>
      <w:r w:rsidR="004D3167" w:rsidRPr="00D103D4">
        <w:rPr>
          <w:rFonts w:ascii="Arial" w:hAnsi="Arial" w:cs="Arial"/>
          <w:sz w:val="20"/>
          <w:szCs w:val="20"/>
        </w:rPr>
        <w:t xml:space="preserve">ne </w:t>
      </w:r>
      <w:r w:rsidR="006D4869" w:rsidRPr="00D103D4">
        <w:rPr>
          <w:rFonts w:ascii="Arial" w:hAnsi="Arial" w:cs="Arial"/>
          <w:sz w:val="20"/>
          <w:szCs w:val="20"/>
        </w:rPr>
        <w:t xml:space="preserve">prévoit </w:t>
      </w:r>
      <w:r w:rsidR="004D3167" w:rsidRPr="00D103D4">
        <w:rPr>
          <w:rFonts w:ascii="Arial" w:hAnsi="Arial" w:cs="Arial"/>
          <w:sz w:val="20"/>
          <w:szCs w:val="20"/>
        </w:rPr>
        <w:t>qu’un</w:t>
      </w:r>
      <w:r w:rsidR="004D3167" w:rsidRPr="001E0BCE">
        <w:rPr>
          <w:rFonts w:ascii="Arial" w:hAnsi="Arial" w:cs="Arial"/>
          <w:sz w:val="20"/>
          <w:szCs w:val="20"/>
        </w:rPr>
        <w:t xml:space="preserve"> budget de 730 000 euros. Cela signifie-t-il que les économies faites le seront au détriment du bien-être des </w:t>
      </w:r>
      <w:r w:rsidR="00EF07AF" w:rsidRPr="001E0BCE">
        <w:rPr>
          <w:rFonts w:ascii="Arial" w:hAnsi="Arial" w:cs="Arial"/>
          <w:sz w:val="20"/>
          <w:szCs w:val="20"/>
        </w:rPr>
        <w:t>salariés</w:t>
      </w:r>
      <w:r w:rsidR="00EF07AF" w:rsidRPr="00AE7C41">
        <w:rPr>
          <w:rFonts w:ascii="Arial" w:hAnsi="Arial" w:cs="Arial"/>
          <w:b/>
          <w:bCs/>
          <w:sz w:val="20"/>
          <w:szCs w:val="20"/>
        </w:rPr>
        <w:t xml:space="preserve"> ?</w:t>
      </w:r>
    </w:p>
    <w:p w14:paraId="4399B237" w14:textId="2BD8CF89" w:rsidR="00FC0CEF" w:rsidRPr="00FC0CEF" w:rsidRDefault="00FC0CEF" w:rsidP="00E9576E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FC0CEF">
        <w:rPr>
          <w:rFonts w:ascii="Arial" w:hAnsi="Arial" w:cs="Arial"/>
          <w:sz w:val="20"/>
          <w:szCs w:val="20"/>
        </w:rPr>
        <w:t>Comment expliquez-vous la différence entre les deux montants ? Où va le delta ? Nous avons besoin d’avoir des explications claires quant à cette différence.</w:t>
      </w:r>
    </w:p>
    <w:p w14:paraId="10043C5B" w14:textId="34E05FCC" w:rsidR="004D3167" w:rsidRPr="00FC0CEF" w:rsidRDefault="004D3167" w:rsidP="00E9576E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1B772A9A" w14:textId="103285A6" w:rsidR="004D3167" w:rsidRDefault="004D3167" w:rsidP="005B764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E0BCE">
        <w:rPr>
          <w:rFonts w:ascii="Arial" w:hAnsi="Arial" w:cs="Arial"/>
          <w:sz w:val="20"/>
          <w:szCs w:val="20"/>
        </w:rPr>
        <w:t>Enjeux RSE : Là aussi les gains en CO2 sont réels</w:t>
      </w:r>
      <w:r w:rsidR="00FF0A11" w:rsidRPr="001E0BCE">
        <w:rPr>
          <w:rFonts w:ascii="Arial" w:hAnsi="Arial" w:cs="Arial"/>
          <w:sz w:val="20"/>
          <w:szCs w:val="20"/>
        </w:rPr>
        <w:t>,</w:t>
      </w:r>
      <w:r w:rsidRPr="001E0BCE">
        <w:rPr>
          <w:rFonts w:ascii="Arial" w:hAnsi="Arial" w:cs="Arial"/>
          <w:sz w:val="20"/>
          <w:szCs w:val="20"/>
        </w:rPr>
        <w:t xml:space="preserve"> toutefois en </w:t>
      </w:r>
      <w:r w:rsidRPr="00D103D4">
        <w:rPr>
          <w:rFonts w:ascii="Arial" w:hAnsi="Arial" w:cs="Arial"/>
          <w:sz w:val="20"/>
          <w:szCs w:val="20"/>
        </w:rPr>
        <w:t>terme</w:t>
      </w:r>
      <w:r w:rsidR="006D4869" w:rsidRPr="00D103D4">
        <w:rPr>
          <w:rFonts w:ascii="Arial" w:hAnsi="Arial" w:cs="Arial"/>
          <w:sz w:val="20"/>
          <w:szCs w:val="20"/>
        </w:rPr>
        <w:t>s</w:t>
      </w:r>
      <w:r w:rsidRPr="00D103D4">
        <w:rPr>
          <w:rFonts w:ascii="Arial" w:hAnsi="Arial" w:cs="Arial"/>
          <w:sz w:val="20"/>
          <w:szCs w:val="20"/>
        </w:rPr>
        <w:t xml:space="preserve"> de</w:t>
      </w:r>
      <w:r w:rsidRPr="001E0BCE">
        <w:rPr>
          <w:rFonts w:ascii="Arial" w:hAnsi="Arial" w:cs="Arial"/>
          <w:sz w:val="20"/>
          <w:szCs w:val="20"/>
        </w:rPr>
        <w:t xml:space="preserve"> gestion </w:t>
      </w:r>
      <w:r w:rsidRPr="00D103D4">
        <w:rPr>
          <w:rFonts w:ascii="Arial" w:hAnsi="Arial" w:cs="Arial"/>
          <w:sz w:val="20"/>
          <w:szCs w:val="20"/>
        </w:rPr>
        <w:t>d’énergie</w:t>
      </w:r>
      <w:r w:rsidR="006D4869" w:rsidRPr="00D103D4">
        <w:rPr>
          <w:rFonts w:ascii="Arial" w:hAnsi="Arial" w:cs="Arial"/>
          <w:sz w:val="20"/>
          <w:szCs w:val="20"/>
        </w:rPr>
        <w:t>,</w:t>
      </w:r>
      <w:r w:rsidRPr="00D103D4">
        <w:rPr>
          <w:rFonts w:ascii="Arial" w:hAnsi="Arial" w:cs="Arial"/>
          <w:sz w:val="20"/>
          <w:szCs w:val="20"/>
        </w:rPr>
        <w:t xml:space="preserve"> </w:t>
      </w:r>
      <w:r w:rsidR="004D1C09" w:rsidRPr="004D1C09">
        <w:rPr>
          <w:rFonts w:ascii="Arial" w:hAnsi="Arial" w:cs="Arial"/>
          <w:b/>
          <w:bCs/>
          <w:color w:val="5B9BD5" w:themeColor="accent1"/>
          <w:sz w:val="20"/>
          <w:szCs w:val="20"/>
        </w:rPr>
        <w:t>l’</w:t>
      </w:r>
      <w:r w:rsidR="004D1C09">
        <w:rPr>
          <w:rFonts w:ascii="Arial" w:hAnsi="Arial" w:cs="Arial"/>
          <w:sz w:val="20"/>
          <w:szCs w:val="20"/>
        </w:rPr>
        <w:t>application</w:t>
      </w:r>
      <w:r w:rsidRPr="001E0BCE">
        <w:rPr>
          <w:rFonts w:ascii="Arial" w:hAnsi="Arial" w:cs="Arial"/>
          <w:sz w:val="20"/>
          <w:szCs w:val="20"/>
        </w:rPr>
        <w:t xml:space="preserve"> prochaine du décret BACS </w:t>
      </w:r>
      <w:r w:rsidR="009A6EF9">
        <w:rPr>
          <w:rFonts w:ascii="Arial" w:hAnsi="Arial" w:cs="Arial"/>
          <w:sz w:val="20"/>
          <w:szCs w:val="20"/>
        </w:rPr>
        <w:t xml:space="preserve">devrait logiquement induire la mise </w:t>
      </w:r>
      <w:r w:rsidR="0002138A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>en place</w:t>
      </w:r>
      <w:r w:rsidR="004D1C09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9A6EF9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d’une </w:t>
      </w:r>
      <w:r w:rsidR="00D40174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>GTB classe</w:t>
      </w:r>
      <w:r w:rsidR="0002138A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A</w:t>
      </w:r>
      <w:r w:rsidR="00D40174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(Gestion Technique du Bâtiment)</w:t>
      </w:r>
      <w:r w:rsidR="0002138A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4D1C09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avant le 1er </w:t>
      </w:r>
      <w:r w:rsidR="00D40174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>janvier</w:t>
      </w:r>
      <w:r w:rsidR="004D1C09" w:rsidRPr="0002138A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2025</w:t>
      </w:r>
      <w:r w:rsidR="00FF0A11" w:rsidRPr="001E0BCE">
        <w:rPr>
          <w:rFonts w:ascii="Arial" w:hAnsi="Arial" w:cs="Arial"/>
          <w:sz w:val="20"/>
          <w:szCs w:val="20"/>
        </w:rPr>
        <w:t>.</w:t>
      </w:r>
      <w:r w:rsidRPr="001E0BCE">
        <w:rPr>
          <w:rFonts w:ascii="Arial" w:hAnsi="Arial" w:cs="Arial"/>
          <w:sz w:val="20"/>
          <w:szCs w:val="20"/>
        </w:rPr>
        <w:t xml:space="preserve"> </w:t>
      </w:r>
      <w:r w:rsidR="00FF0A11" w:rsidRPr="001E0BCE">
        <w:rPr>
          <w:rFonts w:ascii="Arial" w:hAnsi="Arial" w:cs="Arial"/>
          <w:sz w:val="20"/>
          <w:szCs w:val="20"/>
        </w:rPr>
        <w:t>Cependant</w:t>
      </w:r>
      <w:r w:rsidRPr="001E0BCE">
        <w:rPr>
          <w:rFonts w:ascii="Arial" w:hAnsi="Arial" w:cs="Arial"/>
          <w:sz w:val="20"/>
          <w:szCs w:val="20"/>
        </w:rPr>
        <w:t xml:space="preserve"> on nous répond que ces travaux ne sont pas prévus dans l’immédiat. Nous tenons également à mettre en lumière qu’au regard de l’étude </w:t>
      </w:r>
      <w:r w:rsidR="00FC0CEF">
        <w:rPr>
          <w:rFonts w:ascii="Arial" w:hAnsi="Arial" w:cs="Arial"/>
          <w:sz w:val="20"/>
          <w:szCs w:val="20"/>
        </w:rPr>
        <w:t>« </w:t>
      </w:r>
      <w:r w:rsidR="0098590D">
        <w:rPr>
          <w:rFonts w:ascii="Arial" w:hAnsi="Arial" w:cs="Arial"/>
          <w:sz w:val="20"/>
          <w:szCs w:val="20"/>
        </w:rPr>
        <w:t>V</w:t>
      </w:r>
      <w:r w:rsidRPr="001E0BCE">
        <w:rPr>
          <w:rFonts w:ascii="Arial" w:hAnsi="Arial" w:cs="Arial"/>
          <w:sz w:val="20"/>
          <w:szCs w:val="20"/>
        </w:rPr>
        <w:t>oyageur</w:t>
      </w:r>
      <w:r w:rsidR="00FC0CEF">
        <w:rPr>
          <w:rFonts w:ascii="Arial" w:hAnsi="Arial" w:cs="Arial"/>
          <w:sz w:val="20"/>
          <w:szCs w:val="20"/>
        </w:rPr>
        <w:t> » (application dédiée et créée par ORANGE LABS)</w:t>
      </w:r>
      <w:r w:rsidR="00B405FE" w:rsidRPr="001E0BCE">
        <w:rPr>
          <w:rFonts w:ascii="Arial" w:hAnsi="Arial" w:cs="Arial"/>
          <w:sz w:val="20"/>
          <w:szCs w:val="20"/>
        </w:rPr>
        <w:t>, il faudra impérativement s’assurer qu’au-delà de 20 minutes de majoration du trajet</w:t>
      </w:r>
      <w:r w:rsidR="0098590D">
        <w:rPr>
          <w:rFonts w:ascii="Arial" w:hAnsi="Arial" w:cs="Arial"/>
          <w:sz w:val="20"/>
          <w:szCs w:val="20"/>
        </w:rPr>
        <w:t>,</w:t>
      </w:r>
      <w:r w:rsidR="00B405FE" w:rsidRPr="001E0BCE">
        <w:rPr>
          <w:rFonts w:ascii="Arial" w:hAnsi="Arial" w:cs="Arial"/>
          <w:sz w:val="20"/>
          <w:szCs w:val="20"/>
        </w:rPr>
        <w:t xml:space="preserve"> une compensation financière vienne soutenir le/la salarié(e) </w:t>
      </w:r>
      <w:r w:rsidR="00B405FE" w:rsidRPr="00D103D4">
        <w:rPr>
          <w:rFonts w:ascii="Arial" w:hAnsi="Arial" w:cs="Arial"/>
          <w:sz w:val="20"/>
          <w:szCs w:val="20"/>
        </w:rPr>
        <w:t>concerné(e)</w:t>
      </w:r>
      <w:r w:rsidR="006D4869" w:rsidRPr="00D103D4">
        <w:rPr>
          <w:rFonts w:ascii="Arial" w:hAnsi="Arial" w:cs="Arial"/>
          <w:sz w:val="20"/>
          <w:szCs w:val="20"/>
        </w:rPr>
        <w:t>,</w:t>
      </w:r>
      <w:r w:rsidR="00B405FE" w:rsidRPr="00D103D4">
        <w:rPr>
          <w:rFonts w:ascii="Arial" w:hAnsi="Arial" w:cs="Arial"/>
          <w:sz w:val="20"/>
          <w:szCs w:val="20"/>
        </w:rPr>
        <w:t xml:space="preserve"> de surcroît</w:t>
      </w:r>
      <w:r w:rsidR="00B405FE" w:rsidRPr="001E0BCE">
        <w:rPr>
          <w:rFonts w:ascii="Arial" w:hAnsi="Arial" w:cs="Arial"/>
          <w:sz w:val="20"/>
          <w:szCs w:val="20"/>
        </w:rPr>
        <w:t xml:space="preserve"> dans une période inflationniste toujours aussi </w:t>
      </w:r>
      <w:r w:rsidR="00AA40D0" w:rsidRPr="001E0BCE">
        <w:rPr>
          <w:rFonts w:ascii="Arial" w:hAnsi="Arial" w:cs="Arial"/>
          <w:sz w:val="20"/>
          <w:szCs w:val="20"/>
        </w:rPr>
        <w:t>marquée.</w:t>
      </w:r>
      <w:r w:rsidR="00AA40D0">
        <w:rPr>
          <w:rFonts w:ascii="Arial" w:hAnsi="Arial" w:cs="Arial"/>
          <w:sz w:val="20"/>
          <w:szCs w:val="20"/>
        </w:rPr>
        <w:t xml:space="preserve"> </w:t>
      </w:r>
      <w:r w:rsidR="00C52FBB">
        <w:rPr>
          <w:rFonts w:ascii="Arial" w:hAnsi="Arial" w:cs="Arial"/>
          <w:b/>
          <w:bCs/>
          <w:color w:val="5B9BD5" w:themeColor="accent1"/>
          <w:sz w:val="20"/>
          <w:szCs w:val="20"/>
        </w:rPr>
        <w:t>Vu</w:t>
      </w:r>
      <w:r w:rsidR="00AA40D0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C52FBB">
        <w:rPr>
          <w:rFonts w:ascii="Arial" w:hAnsi="Arial" w:cs="Arial"/>
          <w:b/>
          <w:bCs/>
          <w:color w:val="5B9BD5" w:themeColor="accent1"/>
          <w:sz w:val="20"/>
          <w:szCs w:val="20"/>
        </w:rPr>
        <w:t>le</w:t>
      </w:r>
      <w:r w:rsidR="00AA40D0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renouvellement du parc automobile (60% voiture électrique) de l’UCI</w:t>
      </w:r>
      <w:r w:rsidR="00DE2F5F">
        <w:rPr>
          <w:rFonts w:ascii="Arial" w:hAnsi="Arial" w:cs="Arial"/>
          <w:b/>
          <w:bCs/>
          <w:color w:val="5B9BD5" w:themeColor="accent1"/>
          <w:sz w:val="20"/>
          <w:szCs w:val="20"/>
        </w:rPr>
        <w:t>, il sera nécessaire d’installer un nombre conséquent</w:t>
      </w:r>
      <w:r w:rsidR="00AA40D0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de bornes</w:t>
      </w:r>
      <w:r w:rsidR="00DE2F5F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de recharge rapide </w:t>
      </w:r>
      <w:r w:rsidR="00C66762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>sur les sites Metz et Maizières</w:t>
      </w:r>
      <w:r w:rsidR="00DE2F5F">
        <w:rPr>
          <w:rFonts w:ascii="Arial" w:hAnsi="Arial" w:cs="Arial"/>
          <w:b/>
          <w:bCs/>
          <w:color w:val="5B9BD5" w:themeColor="accent1"/>
          <w:sz w:val="20"/>
          <w:szCs w:val="20"/>
        </w:rPr>
        <w:t>.</w:t>
      </w:r>
      <w:r w:rsidR="00C66762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> </w:t>
      </w:r>
      <w:r w:rsidR="00B405FE" w:rsidRPr="00EC3298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B405FE" w:rsidRPr="004E0C52">
        <w:rPr>
          <w:rFonts w:ascii="Arial" w:hAnsi="Arial" w:cs="Arial"/>
          <w:sz w:val="20"/>
          <w:szCs w:val="20"/>
        </w:rPr>
        <w:t>Enfin</w:t>
      </w:r>
      <w:r w:rsidR="006D4869" w:rsidRPr="004E0C52">
        <w:rPr>
          <w:rFonts w:ascii="Arial" w:hAnsi="Arial" w:cs="Arial"/>
          <w:sz w:val="20"/>
          <w:szCs w:val="20"/>
        </w:rPr>
        <w:t>,</w:t>
      </w:r>
      <w:r w:rsidR="00B405FE" w:rsidRPr="004E0C52">
        <w:rPr>
          <w:rFonts w:ascii="Arial" w:hAnsi="Arial" w:cs="Arial"/>
          <w:sz w:val="20"/>
          <w:szCs w:val="20"/>
        </w:rPr>
        <w:t xml:space="preserve"> </w:t>
      </w:r>
      <w:r w:rsidR="00B405FE" w:rsidRPr="00D103D4">
        <w:rPr>
          <w:rFonts w:ascii="Arial" w:hAnsi="Arial" w:cs="Arial"/>
          <w:sz w:val="20"/>
          <w:szCs w:val="20"/>
        </w:rPr>
        <w:t>no</w:t>
      </w:r>
      <w:r w:rsidR="00B405FE" w:rsidRPr="001E0BCE">
        <w:rPr>
          <w:rFonts w:ascii="Arial" w:hAnsi="Arial" w:cs="Arial"/>
          <w:sz w:val="20"/>
          <w:szCs w:val="20"/>
        </w:rPr>
        <w:t xml:space="preserve">us regrettons l’absence totale de mesure en faveur </w:t>
      </w:r>
      <w:r w:rsidR="00DE2F5F">
        <w:rPr>
          <w:rFonts w:ascii="Arial" w:hAnsi="Arial" w:cs="Arial"/>
          <w:sz w:val="20"/>
          <w:szCs w:val="20"/>
        </w:rPr>
        <w:t xml:space="preserve">du </w:t>
      </w:r>
      <w:r w:rsidR="00DE2F5F" w:rsidRPr="00D151F4">
        <w:rPr>
          <w:rFonts w:ascii="Arial" w:hAnsi="Arial" w:cs="Arial"/>
          <w:b/>
          <w:bCs/>
          <w:color w:val="5B9BD5" w:themeColor="accent1"/>
          <w:sz w:val="20"/>
          <w:szCs w:val="20"/>
        </w:rPr>
        <w:t>traitement des déchets (plastiques, cartons…)</w:t>
      </w:r>
      <w:r w:rsidR="00DE2F5F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et </w:t>
      </w:r>
      <w:r w:rsidR="00B405FE" w:rsidRPr="001E0BCE">
        <w:rPr>
          <w:rFonts w:ascii="Arial" w:hAnsi="Arial" w:cs="Arial"/>
          <w:sz w:val="20"/>
          <w:szCs w:val="20"/>
        </w:rPr>
        <w:t xml:space="preserve">de la biodiversité (augmentation de la valeur écologique du site, mise en place de dispositifs pour accueillir la faune </w:t>
      </w:r>
      <w:r w:rsidR="00B405FE" w:rsidRPr="00D103D4">
        <w:rPr>
          <w:rFonts w:ascii="Arial" w:hAnsi="Arial" w:cs="Arial"/>
          <w:sz w:val="20"/>
          <w:szCs w:val="20"/>
        </w:rPr>
        <w:t>locale</w:t>
      </w:r>
      <w:r w:rsidR="006D4869" w:rsidRPr="00D103D4">
        <w:rPr>
          <w:rFonts w:ascii="Arial" w:hAnsi="Arial" w:cs="Arial"/>
          <w:sz w:val="20"/>
          <w:szCs w:val="20"/>
        </w:rPr>
        <w:t xml:space="preserve"> ...</w:t>
      </w:r>
      <w:r w:rsidR="00B405FE" w:rsidRPr="00D103D4">
        <w:rPr>
          <w:rFonts w:ascii="Arial" w:hAnsi="Arial" w:cs="Arial"/>
          <w:sz w:val="20"/>
          <w:szCs w:val="20"/>
        </w:rPr>
        <w:t>)</w:t>
      </w:r>
      <w:r w:rsidR="00DE2F5F">
        <w:rPr>
          <w:rFonts w:ascii="Arial" w:hAnsi="Arial" w:cs="Arial"/>
          <w:sz w:val="20"/>
          <w:szCs w:val="20"/>
        </w:rPr>
        <w:t>.</w:t>
      </w:r>
    </w:p>
    <w:p w14:paraId="711FD1EE" w14:textId="77777777" w:rsidR="00C70759" w:rsidRPr="00C70759" w:rsidRDefault="00C70759" w:rsidP="00C70759">
      <w:pPr>
        <w:pStyle w:val="Paragraphedeliste"/>
        <w:rPr>
          <w:rFonts w:ascii="Arial" w:hAnsi="Arial" w:cs="Arial"/>
          <w:sz w:val="20"/>
          <w:szCs w:val="20"/>
        </w:rPr>
      </w:pPr>
    </w:p>
    <w:p w14:paraId="20A1900C" w14:textId="2A75B90C" w:rsidR="00C70759" w:rsidRPr="005B764D" w:rsidRDefault="00C70759" w:rsidP="005B764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764D">
        <w:rPr>
          <w:rFonts w:ascii="Arial" w:hAnsi="Arial" w:cs="Arial"/>
          <w:sz w:val="20"/>
          <w:szCs w:val="20"/>
        </w:rPr>
        <w:t xml:space="preserve">Enjeux humains : </w:t>
      </w:r>
      <w:r w:rsidR="00972A14">
        <w:rPr>
          <w:rFonts w:ascii="Arial" w:hAnsi="Arial" w:cs="Arial"/>
          <w:sz w:val="20"/>
          <w:szCs w:val="20"/>
        </w:rPr>
        <w:t>Les élus du CSE attirent l’attention sur l’accès au parking qui leur semble compliqué, qu’il s’agisse du parking du site ou du complément Indigo. Ils demandent à la Direction de s’assurer que la fréquentation du RIE tout comme sa qualité soient maintenus dans le temps.</w:t>
      </w:r>
      <w:r w:rsidR="00E9576E">
        <w:rPr>
          <w:rFonts w:ascii="Arial" w:hAnsi="Arial" w:cs="Arial"/>
          <w:sz w:val="20"/>
          <w:szCs w:val="20"/>
        </w:rPr>
        <w:t xml:space="preserve"> </w:t>
      </w:r>
      <w:r w:rsidRPr="005B764D">
        <w:rPr>
          <w:rFonts w:ascii="Arial" w:hAnsi="Arial" w:cs="Arial"/>
          <w:b/>
          <w:bCs/>
          <w:color w:val="5B9BD5" w:themeColor="accent1"/>
          <w:sz w:val="20"/>
          <w:szCs w:val="20"/>
        </w:rPr>
        <w:t>Il</w:t>
      </w:r>
      <w:r w:rsidRPr="005B764D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5B764D">
        <w:rPr>
          <w:rFonts w:ascii="Arial" w:hAnsi="Arial" w:cs="Arial"/>
          <w:sz w:val="20"/>
          <w:szCs w:val="20"/>
        </w:rPr>
        <w:t>est primordial</w:t>
      </w:r>
      <w:r w:rsidR="00FC0CEF">
        <w:rPr>
          <w:rFonts w:ascii="Arial" w:hAnsi="Arial" w:cs="Arial"/>
          <w:sz w:val="20"/>
          <w:szCs w:val="20"/>
        </w:rPr>
        <w:t xml:space="preserve"> </w:t>
      </w:r>
      <w:r w:rsidR="005160B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B764D">
        <w:rPr>
          <w:rFonts w:ascii="Arial" w:hAnsi="Arial" w:cs="Arial"/>
          <w:sz w:val="20"/>
          <w:szCs w:val="20"/>
        </w:rPr>
        <w:t>puisque l’entreprise a décidé de ne plus avoir recours à l’installation de climatisation sur ses sites tertiaires mais privilégie l’emploi de centrale de traitement d’air (CTA)</w:t>
      </w:r>
      <w:r w:rsidR="00FC0CEF">
        <w:rPr>
          <w:rFonts w:ascii="Arial" w:hAnsi="Arial" w:cs="Arial"/>
          <w:sz w:val="20"/>
          <w:szCs w:val="20"/>
        </w:rPr>
        <w:t xml:space="preserve"> </w:t>
      </w:r>
      <w:r w:rsidR="005160B6">
        <w:rPr>
          <w:rFonts w:ascii="Arial" w:hAnsi="Arial" w:cs="Arial"/>
          <w:b/>
          <w:bCs/>
          <w:sz w:val="20"/>
          <w:szCs w:val="20"/>
        </w:rPr>
        <w:t>-</w:t>
      </w:r>
      <w:r w:rsidRPr="005B764D">
        <w:rPr>
          <w:rFonts w:ascii="Arial" w:hAnsi="Arial" w:cs="Arial"/>
          <w:sz w:val="20"/>
          <w:szCs w:val="20"/>
        </w:rPr>
        <w:t xml:space="preserve"> que nous puissions connaître le modèle retenu. L</w:t>
      </w:r>
      <w:r w:rsidRPr="005B764D">
        <w:rPr>
          <w:rFonts w:ascii="Arial" w:hAnsi="Arial" w:cs="Arial"/>
          <w:b/>
          <w:bCs/>
          <w:color w:val="5B9BD5" w:themeColor="accent1"/>
          <w:sz w:val="20"/>
          <w:szCs w:val="20"/>
        </w:rPr>
        <w:t>e rapport d’expertise préconise que, dans le contexte du réchauffement climatique combiné avec le souhait d’accueillir 450 personnes, une climatisation de locaux avec des systèmes performants et durables soit installée</w:t>
      </w:r>
      <w:r w:rsidRPr="005B764D">
        <w:rPr>
          <w:rFonts w:ascii="Arial" w:hAnsi="Arial" w:cs="Arial"/>
          <w:sz w:val="20"/>
          <w:szCs w:val="20"/>
        </w:rPr>
        <w:t>. Cet équipement sera vital pour le respect de l’engagement de sobriété énergétique prôné par Orange (19° hiver, 26° été) ainsi que pour la santé des salariés, donc comment se prononcer sans même être sûr du bon investissement que réalisera l’entreprise ?</w:t>
      </w:r>
      <w:r w:rsidR="005B4D9F">
        <w:rPr>
          <w:rFonts w:ascii="Arial" w:hAnsi="Arial" w:cs="Arial"/>
          <w:sz w:val="20"/>
          <w:szCs w:val="20"/>
        </w:rPr>
        <w:t xml:space="preserve"> </w:t>
      </w:r>
      <w:r w:rsidRPr="005B764D">
        <w:rPr>
          <w:rFonts w:ascii="Arial" w:hAnsi="Arial" w:cs="Arial"/>
          <w:b/>
          <w:bCs/>
          <w:color w:val="5B9BD5" w:themeColor="accent1"/>
          <w:sz w:val="20"/>
          <w:szCs w:val="20"/>
        </w:rPr>
        <w:t>Il est primordial également que le site de Maizières réponde à toutes les interrogations de nos salariés (entrepôt de câble, parking, locaux de stockage matériels EPI…).</w:t>
      </w:r>
      <w:r w:rsidRPr="005B764D">
        <w:rPr>
          <w:rFonts w:ascii="Arial" w:hAnsi="Arial" w:cs="Arial"/>
          <w:color w:val="5B9BD5" w:themeColor="accent1"/>
          <w:sz w:val="20"/>
          <w:szCs w:val="20"/>
        </w:rPr>
        <w:t xml:space="preserve">  </w:t>
      </w:r>
    </w:p>
    <w:p w14:paraId="5F53D9BC" w14:textId="72CB4276" w:rsidR="003D5B5B" w:rsidRDefault="00D01E29" w:rsidP="00B74F02">
      <w:pPr>
        <w:ind w:left="709"/>
        <w:rPr>
          <w:rFonts w:cs="Arial"/>
          <w:szCs w:val="20"/>
        </w:rPr>
      </w:pPr>
      <w:r w:rsidRPr="003D5B5B">
        <w:rPr>
          <w:rFonts w:cs="Arial"/>
          <w:szCs w:val="20"/>
        </w:rPr>
        <w:t>P</w:t>
      </w:r>
      <w:r w:rsidR="00B021A7" w:rsidRPr="003D5B5B">
        <w:rPr>
          <w:rFonts w:cs="Arial"/>
          <w:szCs w:val="20"/>
        </w:rPr>
        <w:t>our toutes ces raisons</w:t>
      </w:r>
      <w:r w:rsidRPr="003D5B5B">
        <w:rPr>
          <w:rFonts w:cs="Arial"/>
          <w:szCs w:val="20"/>
        </w:rPr>
        <w:t>, les délégations composant le CSE</w:t>
      </w:r>
      <w:r w:rsidR="00EA44AF" w:rsidRPr="003D5B5B">
        <w:rPr>
          <w:rFonts w:cs="Arial"/>
          <w:szCs w:val="20"/>
        </w:rPr>
        <w:t>E DOGNE,</w:t>
      </w:r>
      <w:r w:rsidR="00B021A7" w:rsidRPr="003D5B5B">
        <w:rPr>
          <w:rFonts w:cs="Arial"/>
          <w:szCs w:val="20"/>
        </w:rPr>
        <w:t xml:space="preserve"> </w:t>
      </w:r>
      <w:r w:rsidRPr="003D5B5B">
        <w:rPr>
          <w:rFonts w:cs="Arial"/>
          <w:szCs w:val="20"/>
        </w:rPr>
        <w:t>CFDT – CFE-CGC – CFTC – CGT – FOC</w:t>
      </w:r>
      <w:r w:rsidR="00EA44AF" w:rsidRPr="003D5B5B">
        <w:rPr>
          <w:rFonts w:cs="Arial"/>
          <w:szCs w:val="20"/>
        </w:rPr>
        <w:t>OM</w:t>
      </w:r>
      <w:r w:rsidRPr="003D5B5B">
        <w:rPr>
          <w:rFonts w:cs="Arial"/>
          <w:szCs w:val="20"/>
        </w:rPr>
        <w:t xml:space="preserve"> et SUD </w:t>
      </w:r>
      <w:r w:rsidR="00B62A77">
        <w:rPr>
          <w:rFonts w:cs="Arial"/>
          <w:szCs w:val="20"/>
        </w:rPr>
        <w:t xml:space="preserve">ont voté contre ce projet tel qu’il </w:t>
      </w:r>
      <w:r w:rsidR="00527ABD">
        <w:rPr>
          <w:rFonts w:cs="Arial"/>
          <w:szCs w:val="20"/>
        </w:rPr>
        <w:t xml:space="preserve">nous </w:t>
      </w:r>
      <w:r w:rsidR="00B62A77">
        <w:rPr>
          <w:rFonts w:cs="Arial"/>
          <w:szCs w:val="20"/>
        </w:rPr>
        <w:t>est présenté.</w:t>
      </w:r>
    </w:p>
    <w:p w14:paraId="38642671" w14:textId="7B5F6476" w:rsidR="00AE7C41" w:rsidRPr="00EC3298" w:rsidRDefault="00B62A77" w:rsidP="00D374AB">
      <w:pPr>
        <w:ind w:left="709"/>
        <w:rPr>
          <w:rFonts w:cs="Arial"/>
          <w:b/>
          <w:bCs/>
          <w:color w:val="5B9BD5" w:themeColor="accent1"/>
          <w:szCs w:val="20"/>
        </w:rPr>
      </w:pPr>
      <w:r w:rsidRPr="003D5B5B">
        <w:rPr>
          <w:rFonts w:cs="Arial"/>
          <w:szCs w:val="20"/>
        </w:rPr>
        <w:lastRenderedPageBreak/>
        <w:t>Monsieur le Président</w:t>
      </w:r>
      <w:r>
        <w:rPr>
          <w:rFonts w:cs="Arial"/>
          <w:b/>
          <w:bCs/>
          <w:color w:val="5B9BD5" w:themeColor="accent1"/>
          <w:szCs w:val="20"/>
        </w:rPr>
        <w:t xml:space="preserve">, </w:t>
      </w:r>
      <w:r w:rsidR="00B74F02">
        <w:rPr>
          <w:rFonts w:cs="Arial"/>
          <w:b/>
          <w:bCs/>
          <w:color w:val="5B9BD5" w:themeColor="accent1"/>
          <w:szCs w:val="20"/>
        </w:rPr>
        <w:t xml:space="preserve">nous vous remercions de </w:t>
      </w:r>
      <w:r w:rsidR="003E569C">
        <w:rPr>
          <w:rFonts w:cs="Arial"/>
          <w:b/>
          <w:bCs/>
          <w:color w:val="5B9BD5" w:themeColor="accent1"/>
          <w:szCs w:val="20"/>
        </w:rPr>
        <w:t xml:space="preserve">nous renseigner sur les points abordés dans cette motivation. </w:t>
      </w:r>
      <w:r w:rsidR="00AE7C41" w:rsidRPr="00EC3298">
        <w:rPr>
          <w:rFonts w:cs="Arial"/>
          <w:b/>
          <w:bCs/>
          <w:color w:val="5B9BD5" w:themeColor="accent1"/>
          <w:szCs w:val="20"/>
        </w:rPr>
        <w:t xml:space="preserve">Nous resterons vigilants </w:t>
      </w:r>
      <w:r w:rsidR="00CD4B93">
        <w:rPr>
          <w:rFonts w:cs="Arial"/>
          <w:b/>
          <w:bCs/>
          <w:color w:val="5B9BD5" w:themeColor="accent1"/>
          <w:szCs w:val="20"/>
        </w:rPr>
        <w:t xml:space="preserve">lors de la réalisation de ce projet </w:t>
      </w:r>
      <w:r w:rsidR="00AE7C41" w:rsidRPr="00EC3298">
        <w:rPr>
          <w:rFonts w:cs="Arial"/>
          <w:b/>
          <w:bCs/>
          <w:color w:val="5B9BD5" w:themeColor="accent1"/>
          <w:szCs w:val="20"/>
        </w:rPr>
        <w:t>et prendron</w:t>
      </w:r>
      <w:r>
        <w:rPr>
          <w:rFonts w:cs="Arial"/>
          <w:b/>
          <w:bCs/>
          <w:color w:val="5B9BD5" w:themeColor="accent1"/>
          <w:szCs w:val="20"/>
        </w:rPr>
        <w:t>s</w:t>
      </w:r>
      <w:r w:rsidR="00AE7C41" w:rsidRPr="00EC3298">
        <w:rPr>
          <w:rFonts w:cs="Arial"/>
          <w:b/>
          <w:bCs/>
          <w:color w:val="5B9BD5" w:themeColor="accent1"/>
          <w:szCs w:val="20"/>
        </w:rPr>
        <w:t xml:space="preserve"> nos responsabilités</w:t>
      </w:r>
      <w:r>
        <w:rPr>
          <w:rFonts w:cs="Arial"/>
          <w:b/>
          <w:bCs/>
          <w:color w:val="5B9BD5" w:themeColor="accent1"/>
          <w:szCs w:val="20"/>
        </w:rPr>
        <w:t>.</w:t>
      </w:r>
    </w:p>
    <w:p w14:paraId="4FDC1237" w14:textId="70AE3B9E" w:rsidR="00E024A4" w:rsidRPr="001E0BCE" w:rsidRDefault="00E024A4" w:rsidP="00D374AB">
      <w:pPr>
        <w:ind w:left="709"/>
        <w:rPr>
          <w:rFonts w:cs="Arial"/>
          <w:szCs w:val="20"/>
        </w:rPr>
      </w:pPr>
      <w:r w:rsidRPr="001E0BCE">
        <w:rPr>
          <w:rFonts w:cs="Arial"/>
          <w:szCs w:val="20"/>
        </w:rPr>
        <w:t>Nous vous remercions de votre écoute.</w:t>
      </w:r>
    </w:p>
    <w:sectPr w:rsidR="00E024A4" w:rsidRPr="001E0BCE" w:rsidSect="00BB638A">
      <w:footerReference w:type="default" r:id="rId7"/>
      <w:type w:val="continuous"/>
      <w:pgSz w:w="11907" w:h="16840" w:code="9"/>
      <w:pgMar w:top="1276" w:right="708" w:bottom="851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C320" w14:textId="77777777" w:rsidR="000900FC" w:rsidRDefault="000900FC" w:rsidP="002C65C2">
      <w:pPr>
        <w:spacing w:before="0"/>
      </w:pPr>
      <w:r>
        <w:separator/>
      </w:r>
    </w:p>
  </w:endnote>
  <w:endnote w:type="continuationSeparator" w:id="0">
    <w:p w14:paraId="49711EAC" w14:textId="77777777" w:rsidR="000900FC" w:rsidRDefault="000900FC" w:rsidP="002C65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6B4B" w14:textId="06F2799E" w:rsidR="001815A4" w:rsidRPr="00F9455D" w:rsidRDefault="001815A4" w:rsidP="0003106D">
    <w:pPr>
      <w:pStyle w:val="Pieddepage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62F1" w14:textId="77777777" w:rsidR="000900FC" w:rsidRDefault="000900FC" w:rsidP="002C65C2">
      <w:pPr>
        <w:spacing w:before="0"/>
      </w:pPr>
      <w:r>
        <w:separator/>
      </w:r>
    </w:p>
  </w:footnote>
  <w:footnote w:type="continuationSeparator" w:id="0">
    <w:p w14:paraId="055D01D0" w14:textId="77777777" w:rsidR="000900FC" w:rsidRDefault="000900FC" w:rsidP="002C65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59"/>
    <w:multiLevelType w:val="hybridMultilevel"/>
    <w:tmpl w:val="76AAEED8"/>
    <w:lvl w:ilvl="0" w:tplc="B8E6B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7FF"/>
    <w:multiLevelType w:val="hybridMultilevel"/>
    <w:tmpl w:val="1CD20E20"/>
    <w:lvl w:ilvl="0" w:tplc="38D4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E4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A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3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05A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E6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AE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C1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8F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2FE1"/>
    <w:multiLevelType w:val="hybridMultilevel"/>
    <w:tmpl w:val="317CF0DE"/>
    <w:lvl w:ilvl="0" w:tplc="C0ECD19E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08B6"/>
    <w:multiLevelType w:val="hybridMultilevel"/>
    <w:tmpl w:val="E5B843EC"/>
    <w:lvl w:ilvl="0" w:tplc="12C46F3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A7375"/>
    <w:multiLevelType w:val="hybridMultilevel"/>
    <w:tmpl w:val="50181E9C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5D844EC4"/>
    <w:multiLevelType w:val="hybridMultilevel"/>
    <w:tmpl w:val="0E5411B2"/>
    <w:lvl w:ilvl="0" w:tplc="5EC4EFA4">
      <w:start w:val="200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0723">
    <w:abstractNumId w:val="3"/>
  </w:num>
  <w:num w:numId="2" w16cid:durableId="1622030168">
    <w:abstractNumId w:val="0"/>
  </w:num>
  <w:num w:numId="3" w16cid:durableId="2089647056">
    <w:abstractNumId w:val="4"/>
  </w:num>
  <w:num w:numId="4" w16cid:durableId="1003512333">
    <w:abstractNumId w:val="2"/>
  </w:num>
  <w:num w:numId="5" w16cid:durableId="1588224834">
    <w:abstractNumId w:val="1"/>
  </w:num>
  <w:num w:numId="6" w16cid:durableId="123234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A4"/>
    <w:rsid w:val="000072C8"/>
    <w:rsid w:val="00014B11"/>
    <w:rsid w:val="0002138A"/>
    <w:rsid w:val="0003106D"/>
    <w:rsid w:val="00041349"/>
    <w:rsid w:val="00053679"/>
    <w:rsid w:val="00056062"/>
    <w:rsid w:val="00067618"/>
    <w:rsid w:val="00071035"/>
    <w:rsid w:val="00080C16"/>
    <w:rsid w:val="000900FC"/>
    <w:rsid w:val="000D32E4"/>
    <w:rsid w:val="0010403C"/>
    <w:rsid w:val="00122557"/>
    <w:rsid w:val="001260F9"/>
    <w:rsid w:val="00157093"/>
    <w:rsid w:val="00173E84"/>
    <w:rsid w:val="00175AA1"/>
    <w:rsid w:val="001815A4"/>
    <w:rsid w:val="0019551D"/>
    <w:rsid w:val="001D6CA0"/>
    <w:rsid w:val="001D766E"/>
    <w:rsid w:val="001E0BCE"/>
    <w:rsid w:val="001E1104"/>
    <w:rsid w:val="002069F2"/>
    <w:rsid w:val="00223ADE"/>
    <w:rsid w:val="002465C6"/>
    <w:rsid w:val="00247263"/>
    <w:rsid w:val="0025093C"/>
    <w:rsid w:val="002566E5"/>
    <w:rsid w:val="00257D1D"/>
    <w:rsid w:val="0027141E"/>
    <w:rsid w:val="00274639"/>
    <w:rsid w:val="00290E69"/>
    <w:rsid w:val="00292A84"/>
    <w:rsid w:val="002934C2"/>
    <w:rsid w:val="002C65C2"/>
    <w:rsid w:val="002E3525"/>
    <w:rsid w:val="00302EDC"/>
    <w:rsid w:val="0032392E"/>
    <w:rsid w:val="00366864"/>
    <w:rsid w:val="00393E66"/>
    <w:rsid w:val="003A69BF"/>
    <w:rsid w:val="003A6E8A"/>
    <w:rsid w:val="003C167B"/>
    <w:rsid w:val="003C1C9F"/>
    <w:rsid w:val="003D5B5B"/>
    <w:rsid w:val="003E569C"/>
    <w:rsid w:val="003F1825"/>
    <w:rsid w:val="003F4789"/>
    <w:rsid w:val="00404B52"/>
    <w:rsid w:val="00417D0F"/>
    <w:rsid w:val="004275EF"/>
    <w:rsid w:val="0045112E"/>
    <w:rsid w:val="004517D1"/>
    <w:rsid w:val="00451E2B"/>
    <w:rsid w:val="00457C30"/>
    <w:rsid w:val="0048010E"/>
    <w:rsid w:val="00481B03"/>
    <w:rsid w:val="004A573F"/>
    <w:rsid w:val="004D1C09"/>
    <w:rsid w:val="004D241B"/>
    <w:rsid w:val="004D3167"/>
    <w:rsid w:val="004E0C52"/>
    <w:rsid w:val="004E6457"/>
    <w:rsid w:val="004F32B2"/>
    <w:rsid w:val="00513076"/>
    <w:rsid w:val="005160B6"/>
    <w:rsid w:val="00527ABD"/>
    <w:rsid w:val="005B4D9F"/>
    <w:rsid w:val="005B764D"/>
    <w:rsid w:val="005C4B7F"/>
    <w:rsid w:val="005D3D5C"/>
    <w:rsid w:val="00602487"/>
    <w:rsid w:val="0064021A"/>
    <w:rsid w:val="00646457"/>
    <w:rsid w:val="0066741E"/>
    <w:rsid w:val="00671CCE"/>
    <w:rsid w:val="006842AF"/>
    <w:rsid w:val="0069565A"/>
    <w:rsid w:val="00696FA4"/>
    <w:rsid w:val="006D4869"/>
    <w:rsid w:val="006D4F8C"/>
    <w:rsid w:val="006E3170"/>
    <w:rsid w:val="006F1DF8"/>
    <w:rsid w:val="00704435"/>
    <w:rsid w:val="00711409"/>
    <w:rsid w:val="00754410"/>
    <w:rsid w:val="007A1A60"/>
    <w:rsid w:val="007C40E9"/>
    <w:rsid w:val="007C6F07"/>
    <w:rsid w:val="007E54B8"/>
    <w:rsid w:val="00822A8B"/>
    <w:rsid w:val="00825125"/>
    <w:rsid w:val="008342A1"/>
    <w:rsid w:val="00835ED0"/>
    <w:rsid w:val="00870309"/>
    <w:rsid w:val="00873DA5"/>
    <w:rsid w:val="008951E5"/>
    <w:rsid w:val="008A18B3"/>
    <w:rsid w:val="008D33CE"/>
    <w:rsid w:val="008E2F0F"/>
    <w:rsid w:val="008E5052"/>
    <w:rsid w:val="008F49FA"/>
    <w:rsid w:val="0090320D"/>
    <w:rsid w:val="00903B89"/>
    <w:rsid w:val="00925C10"/>
    <w:rsid w:val="00943894"/>
    <w:rsid w:val="00966B2D"/>
    <w:rsid w:val="00970BE2"/>
    <w:rsid w:val="00972A14"/>
    <w:rsid w:val="00974464"/>
    <w:rsid w:val="00976143"/>
    <w:rsid w:val="009769A6"/>
    <w:rsid w:val="00984CBD"/>
    <w:rsid w:val="0098590D"/>
    <w:rsid w:val="0098762D"/>
    <w:rsid w:val="009A6EF9"/>
    <w:rsid w:val="009B4BA6"/>
    <w:rsid w:val="009D498D"/>
    <w:rsid w:val="009E2826"/>
    <w:rsid w:val="009E5A16"/>
    <w:rsid w:val="009F6B66"/>
    <w:rsid w:val="00A05902"/>
    <w:rsid w:val="00A231E3"/>
    <w:rsid w:val="00A44907"/>
    <w:rsid w:val="00A76870"/>
    <w:rsid w:val="00A86C63"/>
    <w:rsid w:val="00AA0C60"/>
    <w:rsid w:val="00AA40D0"/>
    <w:rsid w:val="00AB4108"/>
    <w:rsid w:val="00AD48BA"/>
    <w:rsid w:val="00AE7C41"/>
    <w:rsid w:val="00B021A7"/>
    <w:rsid w:val="00B0611B"/>
    <w:rsid w:val="00B1311C"/>
    <w:rsid w:val="00B14E4A"/>
    <w:rsid w:val="00B2011D"/>
    <w:rsid w:val="00B2395A"/>
    <w:rsid w:val="00B33053"/>
    <w:rsid w:val="00B405FE"/>
    <w:rsid w:val="00B57C60"/>
    <w:rsid w:val="00B62A77"/>
    <w:rsid w:val="00B74F02"/>
    <w:rsid w:val="00B76A1A"/>
    <w:rsid w:val="00B87E18"/>
    <w:rsid w:val="00BA2ADF"/>
    <w:rsid w:val="00BA5AE5"/>
    <w:rsid w:val="00BB638A"/>
    <w:rsid w:val="00BB63FC"/>
    <w:rsid w:val="00BC2826"/>
    <w:rsid w:val="00C02177"/>
    <w:rsid w:val="00C34BB3"/>
    <w:rsid w:val="00C4085D"/>
    <w:rsid w:val="00C52FBB"/>
    <w:rsid w:val="00C54E42"/>
    <w:rsid w:val="00C63C61"/>
    <w:rsid w:val="00C66762"/>
    <w:rsid w:val="00C7038C"/>
    <w:rsid w:val="00C70759"/>
    <w:rsid w:val="00C80C3C"/>
    <w:rsid w:val="00CB1B97"/>
    <w:rsid w:val="00CC76E6"/>
    <w:rsid w:val="00CD1542"/>
    <w:rsid w:val="00CD4B93"/>
    <w:rsid w:val="00CF0D70"/>
    <w:rsid w:val="00D01E29"/>
    <w:rsid w:val="00D103D4"/>
    <w:rsid w:val="00D151F4"/>
    <w:rsid w:val="00D17CF4"/>
    <w:rsid w:val="00D239DE"/>
    <w:rsid w:val="00D31FA4"/>
    <w:rsid w:val="00D33664"/>
    <w:rsid w:val="00D374AB"/>
    <w:rsid w:val="00D40174"/>
    <w:rsid w:val="00D65CAB"/>
    <w:rsid w:val="00D75324"/>
    <w:rsid w:val="00D76D04"/>
    <w:rsid w:val="00DB2D27"/>
    <w:rsid w:val="00DC1486"/>
    <w:rsid w:val="00DE2F5F"/>
    <w:rsid w:val="00E024A4"/>
    <w:rsid w:val="00E057D4"/>
    <w:rsid w:val="00E34506"/>
    <w:rsid w:val="00E47984"/>
    <w:rsid w:val="00E47EFD"/>
    <w:rsid w:val="00E64368"/>
    <w:rsid w:val="00E82780"/>
    <w:rsid w:val="00E9576E"/>
    <w:rsid w:val="00EA44AF"/>
    <w:rsid w:val="00EC3298"/>
    <w:rsid w:val="00EC3CD3"/>
    <w:rsid w:val="00EC583C"/>
    <w:rsid w:val="00EF07AF"/>
    <w:rsid w:val="00F21277"/>
    <w:rsid w:val="00F47165"/>
    <w:rsid w:val="00F56DCF"/>
    <w:rsid w:val="00F6203C"/>
    <w:rsid w:val="00F713EF"/>
    <w:rsid w:val="00F721FD"/>
    <w:rsid w:val="00F72FBA"/>
    <w:rsid w:val="00F76F21"/>
    <w:rsid w:val="00F9455D"/>
    <w:rsid w:val="00FB5A92"/>
    <w:rsid w:val="00FC0CEF"/>
    <w:rsid w:val="00FC2ACB"/>
    <w:rsid w:val="00FD788F"/>
    <w:rsid w:val="00FE0C38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16716"/>
  <w15:chartTrackingRefBased/>
  <w15:docId w15:val="{1DD816BC-C853-47B4-9BE3-C83EEF0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A4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5C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C65C2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65C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C65C2"/>
    <w:rPr>
      <w:rFonts w:ascii="Arial" w:eastAsia="Times New Roman" w:hAnsi="Arial" w:cs="Times New Roman"/>
      <w:sz w:val="20"/>
      <w:szCs w:val="24"/>
      <w:lang w:eastAsia="fr-FR"/>
    </w:rPr>
  </w:style>
  <w:style w:type="paragraph" w:styleId="Paragraphedeliste">
    <w:name w:val="List Paragraph"/>
    <w:aliases w:val="Article 2"/>
    <w:basedOn w:val="Normal"/>
    <w:uiPriority w:val="34"/>
    <w:qFormat/>
    <w:rsid w:val="00B2395A"/>
    <w:pPr>
      <w:spacing w:before="0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6DC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C52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703</Words>
  <Characters>3870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Valérie DTRS/UPR NE</dc:creator>
  <cp:keywords/>
  <dc:description/>
  <cp:lastModifiedBy>LONDOT Thierry USCGNE</cp:lastModifiedBy>
  <cp:revision>2</cp:revision>
  <cp:lastPrinted>2023-08-22T09:14:00Z</cp:lastPrinted>
  <dcterms:created xsi:type="dcterms:W3CDTF">2023-09-01T07:45:00Z</dcterms:created>
  <dcterms:modified xsi:type="dcterms:W3CDTF">2023-09-01T07:45:00Z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2022-06-22T12:43:11Z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ea85634a-59ec-495b-ac0b-a649b4ad2276</vt:lpwstr>
  </property>
  <property fmtid="{D5CDD505-2E9C-101B-9397-08002B2CF9AE}" pid="8" name="MSIP_Label_e6c818a6-e1a0-4a6e-a969-20d857c5dc62_ContentBits">
    <vt:lpwstr>2</vt:lpwstr>
  </property>
</Properties>
</file>